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r>
    </w:p>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Angelica Gonzalez </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Mariana Rua</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SPAN 300-01</w:t>
        <w:br w:type="textWrapping"/>
        <w:t xml:space="preserve">Diciembre 14, 2018</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color w:val="1c1d1e"/>
          <w:sz w:val="24"/>
          <w:szCs w:val="24"/>
        </w:rPr>
      </w:pPr>
      <w:r w:rsidDel="00000000" w:rsidR="00000000" w:rsidRPr="00000000">
        <w:rPr>
          <w:rFonts w:ascii="Times New Roman" w:cs="Times New Roman" w:eastAsia="Times New Roman" w:hAnsi="Times New Roman"/>
          <w:b w:val="1"/>
          <w:sz w:val="24"/>
          <w:szCs w:val="24"/>
          <w:rtl w:val="0"/>
        </w:rPr>
        <w:t xml:space="preserve">Introduccion:</w:t>
      </w:r>
      <w:r w:rsidDel="00000000" w:rsidR="00000000" w:rsidRPr="00000000">
        <w:rPr>
          <w:rFonts w:ascii="Times New Roman" w:cs="Times New Roman" w:eastAsia="Times New Roman" w:hAnsi="Times New Roman"/>
          <w:sz w:val="24"/>
          <w:szCs w:val="24"/>
          <w:rtl w:val="0"/>
        </w:rPr>
        <w:br w:type="textWrapping"/>
        <w:t xml:space="preserve">Tema: </w:t>
      </w:r>
      <w:r w:rsidDel="00000000" w:rsidR="00000000" w:rsidRPr="00000000">
        <w:rPr>
          <w:rFonts w:ascii="Times New Roman" w:cs="Times New Roman" w:eastAsia="Times New Roman" w:hAnsi="Times New Roman"/>
          <w:color w:val="1c1d1e"/>
          <w:sz w:val="24"/>
          <w:szCs w:val="24"/>
          <w:rtl w:val="0"/>
        </w:rPr>
        <w:t xml:space="preserve">The Extrasemiotic in Borges’ “The Library of Babel”</w:t>
      </w:r>
    </w:p>
    <w:p w:rsidR="00000000" w:rsidDel="00000000" w:rsidP="00000000" w:rsidRDefault="00000000" w:rsidRPr="00000000" w14:paraId="00000006">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se mira el mundo en dos perspectivas?</w:t>
      </w:r>
    </w:p>
    <w:p w:rsidR="00000000" w:rsidDel="00000000" w:rsidP="00000000" w:rsidRDefault="00000000" w:rsidRPr="00000000" w14:paraId="00000007">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Cual es la función general en el mundo?</w:t>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Propósito general de los signos?</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Resena literaria:</w:t>
      </w:r>
    </w:p>
    <w:p w:rsidR="00000000" w:rsidDel="00000000" w:rsidP="00000000" w:rsidRDefault="00000000" w:rsidRPr="00000000" w14:paraId="0000000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1860  charles habla de la infinidad de los signos. También expresa el estudio como la humanidad le da un significado; y el estudio del universo</w:t>
      </w:r>
    </w:p>
    <w:p w:rsidR="00000000" w:rsidDel="00000000" w:rsidP="00000000" w:rsidRDefault="00000000" w:rsidRPr="00000000" w14:paraId="0000000C">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Peirce's remark that “this universe is perfused with signs, if it is not composed exclusively of signs,”</w:t>
      </w:r>
    </w:p>
    <w:p w:rsidR="00000000" w:rsidDel="00000000" w:rsidP="00000000" w:rsidRDefault="00000000" w:rsidRPr="00000000" w14:paraId="0000000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Metodología:</w:t>
      </w:r>
    </w:p>
    <w:p w:rsidR="00000000" w:rsidDel="00000000" w:rsidP="00000000" w:rsidRDefault="00000000" w:rsidRPr="00000000" w14:paraId="0000000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perspectiva de cómo mirar el mundo por medio de la lógica, la imaginación y lo real por utilizando la semiótica. Y del mismo modo estudiando cada perspectiva de lo que está presente. </w:t>
      </w:r>
    </w:p>
    <w:p w:rsidR="00000000" w:rsidDel="00000000" w:rsidP="00000000" w:rsidRDefault="00000000" w:rsidRPr="00000000" w14:paraId="0000001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Análisis:</w:t>
      </w:r>
    </w:p>
    <w:p w:rsidR="00000000" w:rsidDel="00000000" w:rsidP="00000000" w:rsidRDefault="00000000" w:rsidRPr="00000000" w14:paraId="0000001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José Sanjinés En su artículo especifica que para poder comprender a Borges se necesita tener un estudio avanzado en áreas, nada comunes. “</w:t>
      </w:r>
      <w:r w:rsidDel="00000000" w:rsidR="00000000" w:rsidRPr="00000000">
        <w:rPr>
          <w:rFonts w:ascii="Times New Roman" w:cs="Times New Roman" w:eastAsia="Times New Roman" w:hAnsi="Times New Roman"/>
          <w:color w:val="1c1d1e"/>
          <w:sz w:val="24"/>
          <w:szCs w:val="24"/>
          <w:rtl w:val="0"/>
        </w:rPr>
        <w:t xml:space="preserve">Extrasemiotic</w:t>
      </w:r>
      <w:r w:rsidDel="00000000" w:rsidR="00000000" w:rsidRPr="00000000">
        <w:rPr>
          <w:rFonts w:ascii="Times New Roman" w:cs="Times New Roman" w:eastAsia="Times New Roman" w:hAnsi="Times New Roman"/>
          <w:sz w:val="24"/>
          <w:szCs w:val="24"/>
          <w:rtl w:val="0"/>
        </w:rPr>
        <w:t xml:space="preserve">” es lo que el autor esposa y da como ejemplos el uso de teorías. Esta es dice Sangines que es la mejor manera de llegar a las respuestas. Jose presenta como ejemplo a él erudita americano Charles Sanders Peirce. En un de sus estudios el especifica que para poder descifrar un signo se debe usar otro, y de esta manera se va creando una cadena interminable de posibilidades. Jose argumenta que Borges utilizó esta misma idea en su cuento “La librería de babel”, Con la intención de que cada lector se abriera al mundo de las posibilidades. Otro punto a considerar del artículo se basa en como un simple signo como el de un avión que indica un aeropuerto, puede tener dos perspectivas. La persona que lo ve puede pensar fácilmente en un viaje, pero tal vez el propósito de dicho signo es el decir que pronto el aeropuerto (algo fisico) sera visible. Los signos como ya lo he mencionado pueden dirigir a dos personas a dos lugares distintos o ideas distintas aunque sea el mismo signo el que fue presentado. Dejando un  lado atrás las teorías, Sanjinés se enfoca en el cuento “La biblioteca de babilonia” Lo primero que él saca a relucir es la primera frase de el cuento que explica los límites sistemáticos. "El universo (que otros llaman la Biblioteca) está compuesto por un número indefinido, quizás un número infinito de galerías hexagonales [...]"(Borges) Las dos cosas que José observo son el “quizás” y el “Hexágono”. Todo comprendemos que la palabra “quizás” hace referencias a mucha posibilidades ya que no da una idea sólida. Por el otro lado, el hexágono representa la estructura de la biblioteca. Los pasillos corredores y los cuartos de lecturas, todos son conectados por esta estructura hexagonal. La biblioteca de Babel es comparada con un universo. Su majestuosidad y complejidad en su diseño han hecho que mucho haya fracasado en tratar de dibujarla. Esto no es una novedad. Esta biblioteca fue construida para salvaguardar signos, que van desde numéricos hasta geográficos. El arquitecto Antonio Toca Fernández propuso un plano de esta biblioteca. Su conclusión final expone que tal biblioteca, como lo mencionamos antes si es un hexágono, pero al este serlo no hay salida de sus paredes. Dejando a sus huéspedes sumidos en la locura al tratar de escapar. Hasta hoy en dia todo lo que se tiene son especulaciones del tema. Lo cierto es que la Biblioteca de Babel es todo un misterio al que se le debe de respetar sus reglas matemáticas. Esta “quizás” sea la única manera de salir victorioso de tan majestuosa construcción, y acercarse más a la tal vez, verdadera interpretación de sus signos.</w:t>
      </w:r>
    </w:p>
    <w:p w:rsidR="00000000" w:rsidDel="00000000" w:rsidP="00000000" w:rsidRDefault="00000000" w:rsidRPr="00000000" w14:paraId="0000001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Resultados: </w:t>
      </w:r>
      <w:r w:rsidDel="00000000" w:rsidR="00000000" w:rsidRPr="00000000">
        <w:rPr>
          <w:rFonts w:ascii="Times New Roman" w:cs="Times New Roman" w:eastAsia="Times New Roman" w:hAnsi="Times New Roman"/>
          <w:sz w:val="24"/>
          <w:szCs w:val="24"/>
          <w:rtl w:val="0"/>
        </w:rPr>
        <w:t xml:space="preserve">La forma en que el mundo se puede ver desde dos perspectivas depende del significado que la persona le quiera dar a los signos. Como lo hemos visto en este ensayo, la Biblioteca de Babel es un universo, algo infinito de entender por completo, pero no imposible de acercarse a la respuesta correcta. La función general del mundo consiste en seguir las reglas que rigen la lógica. Como ejemplo, propongo las matemáticas. En el cuento para poder descifrar en qué consiste esta biblioteca por ley se tiene que tener un conocimiento matemático, y respetar cada una de sus pautas. Por ultimo, el propósito de los signos. Como se menciona en el artículo, los signos poseen el significado que quieras darles. En cuanto a la Biblioteca de  Babel los signos son usados para explicar otro signo, este proceso hace que se abra el camino hacia las diferentes posibilidades que puedan existir.</w:t>
      </w:r>
    </w:p>
    <w:p w:rsidR="00000000" w:rsidDel="00000000" w:rsidP="00000000" w:rsidRDefault="00000000" w:rsidRPr="00000000" w14:paraId="00000015">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Conclucion:</w:t>
      </w:r>
    </w:p>
    <w:p w:rsidR="00000000" w:rsidDel="00000000" w:rsidP="00000000" w:rsidRDefault="00000000" w:rsidRPr="00000000" w14:paraId="0000001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Borges utiliza los signos matemáticos para abrir laberintos en “la biblioteca de babel”  utilizando el arte verbal y dando imaginación visual al lector. Además concluye que borges utiliza el juego de los espejos donde se puede ver una irrealidad </w:t>
      </w:r>
    </w:p>
    <w:p w:rsidR="00000000" w:rsidDel="00000000" w:rsidP="00000000" w:rsidRDefault="00000000" w:rsidRPr="00000000" w14:paraId="00000018">
      <w:pPr>
        <w:ind w:left="0" w:firstLine="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19">
      <w:pPr>
        <w:ind w:left="0"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Anotacion:</w:t>
      </w:r>
    </w:p>
    <w:p w:rsidR="00000000" w:rsidDel="00000000" w:rsidP="00000000" w:rsidRDefault="00000000" w:rsidRPr="00000000" w14:paraId="0000001A">
      <w:pPr>
        <w:ind w:left="0" w:firstLine="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Este artículo trata acerca de cómo se puede analizar el cuento de la biblioteca de babel. Mirando que todo punto o cada palabra que está en el cuento habla acerca del símbolo  matemático dando forma/ estructura a la biblioteca. También hace una breve analisi del cuento. Borges incrementa  símbolos matemático o teoría semiótica que hace al lector que imagine lo leído como si fuera real pero no lo es. El cuento hace ver dos perspectivas donde tiene en 5 paredes o 6 formando un hexágono.</w:t>
      </w:r>
    </w:p>
    <w:p w:rsidR="00000000" w:rsidDel="00000000" w:rsidP="00000000" w:rsidRDefault="00000000" w:rsidRPr="00000000" w14:paraId="0000001B">
      <w:pPr>
        <w:ind w:left="0" w:firstLine="720"/>
        <w:rPr>
          <w:b w:val="1"/>
          <w:color w:val="3a3a3a"/>
          <w:sz w:val="23"/>
          <w:szCs w:val="23"/>
          <w:highlight w:val="white"/>
        </w:rPr>
      </w:pPr>
      <w:r w:rsidDel="00000000" w:rsidR="00000000" w:rsidRPr="00000000">
        <w:rPr>
          <w:rtl w:val="0"/>
        </w:rPr>
      </w:r>
    </w:p>
    <w:p w:rsidR="00000000" w:rsidDel="00000000" w:rsidP="00000000" w:rsidRDefault="00000000" w:rsidRPr="00000000" w14:paraId="0000001C">
      <w:pPr>
        <w:ind w:left="0" w:firstLine="720"/>
        <w:rPr>
          <w:b w:val="1"/>
          <w:color w:val="3a3a3a"/>
          <w:sz w:val="23"/>
          <w:szCs w:val="23"/>
          <w:highlight w:val="white"/>
        </w:rPr>
      </w:pPr>
      <w:r w:rsidDel="00000000" w:rsidR="00000000" w:rsidRPr="00000000">
        <w:rPr>
          <w:b w:val="1"/>
          <w:color w:val="3a3a3a"/>
          <w:sz w:val="23"/>
          <w:szCs w:val="23"/>
          <w:highlight w:val="white"/>
          <w:rtl w:val="0"/>
        </w:rPr>
        <w:t xml:space="preserve">              </w:t>
      </w:r>
    </w:p>
    <w:p w:rsidR="00000000" w:rsidDel="00000000" w:rsidP="00000000" w:rsidRDefault="00000000" w:rsidRPr="00000000" w14:paraId="0000001D">
      <w:pPr>
        <w:ind w:left="0" w:firstLine="720"/>
        <w:rPr>
          <w:b w:val="1"/>
          <w:color w:val="3a3a3a"/>
          <w:sz w:val="23"/>
          <w:szCs w:val="23"/>
          <w:highlight w:val="white"/>
        </w:rPr>
      </w:pPr>
      <w:r w:rsidDel="00000000" w:rsidR="00000000" w:rsidRPr="00000000">
        <w:rPr>
          <w:rtl w:val="0"/>
        </w:rPr>
      </w:r>
    </w:p>
    <w:p w:rsidR="00000000" w:rsidDel="00000000" w:rsidP="00000000" w:rsidRDefault="00000000" w:rsidRPr="00000000" w14:paraId="0000001E">
      <w:pPr>
        <w:ind w:left="0" w:firstLine="720"/>
        <w:rPr>
          <w:b w:val="1"/>
          <w:sz w:val="23"/>
          <w:szCs w:val="23"/>
          <w:highlight w:val="white"/>
        </w:rPr>
      </w:pPr>
      <w:r w:rsidDel="00000000" w:rsidR="00000000" w:rsidRPr="00000000">
        <w:rPr>
          <w:b w:val="1"/>
          <w:color w:val="3a3a3a"/>
          <w:sz w:val="23"/>
          <w:szCs w:val="23"/>
          <w:highlight w:val="white"/>
          <w:rtl w:val="0"/>
        </w:rPr>
        <w:t xml:space="preserve">                      </w:t>
        <w:tab/>
      </w:r>
      <w:r w:rsidDel="00000000" w:rsidR="00000000" w:rsidRPr="00000000">
        <w:rPr>
          <w:b w:val="1"/>
          <w:sz w:val="23"/>
          <w:szCs w:val="23"/>
          <w:highlight w:val="white"/>
          <w:rtl w:val="0"/>
        </w:rPr>
        <w:t xml:space="preserve">Work cite</w:t>
      </w:r>
    </w:p>
    <w:p w:rsidR="00000000" w:rsidDel="00000000" w:rsidP="00000000" w:rsidRDefault="00000000" w:rsidRPr="00000000" w14:paraId="0000001F">
      <w:pPr>
        <w:ind w:left="0" w:firstLine="0"/>
        <w:rPr>
          <w:color w:val="3a3a3a"/>
          <w:sz w:val="23"/>
          <w:szCs w:val="23"/>
          <w:highlight w:val="white"/>
        </w:rPr>
      </w:pPr>
      <w:r w:rsidDel="00000000" w:rsidR="00000000" w:rsidRPr="00000000">
        <w:rPr>
          <w:rtl w:val="0"/>
        </w:rPr>
      </w:r>
    </w:p>
    <w:p w:rsidR="00000000" w:rsidDel="00000000" w:rsidP="00000000" w:rsidRDefault="00000000" w:rsidRPr="00000000" w14:paraId="00000020">
      <w:pPr>
        <w:ind w:left="0" w:firstLine="0"/>
        <w:rPr>
          <w:rFonts w:ascii="Times New Roman" w:cs="Times New Roman" w:eastAsia="Times New Roman" w:hAnsi="Times New Roman"/>
          <w:color w:val="333333"/>
          <w:sz w:val="24"/>
          <w:szCs w:val="24"/>
          <w:highlight w:val="white"/>
        </w:rPr>
      </w:pPr>
      <w:r w:rsidDel="00000000" w:rsidR="00000000" w:rsidRPr="00000000">
        <w:rPr>
          <w:color w:val="3a3a3a"/>
          <w:sz w:val="23"/>
          <w:szCs w:val="23"/>
          <w:highlight w:val="white"/>
          <w:rtl w:val="0"/>
        </w:rPr>
        <w:t xml:space="preserve">Sanjines, Jose. “The Extrasemiotic in Borges' &amp;Quot;The Library of </w:t>
        <w:tab/>
        <w:tab/>
        <w:t xml:space="preserve">Babel&amp;Quot;.(Report).” </w:t>
      </w:r>
      <w:r w:rsidDel="00000000" w:rsidR="00000000" w:rsidRPr="00000000">
        <w:rPr>
          <w:i w:val="1"/>
          <w:color w:val="3a3a3a"/>
          <w:sz w:val="23"/>
          <w:szCs w:val="23"/>
          <w:highlight w:val="white"/>
          <w:rtl w:val="0"/>
        </w:rPr>
        <w:t xml:space="preserve">The Latin Americanist</w:t>
      </w:r>
      <w:r w:rsidDel="00000000" w:rsidR="00000000" w:rsidRPr="00000000">
        <w:rPr>
          <w:color w:val="3a3a3a"/>
          <w:sz w:val="23"/>
          <w:szCs w:val="23"/>
          <w:highlight w:val="white"/>
          <w:rtl w:val="0"/>
        </w:rPr>
        <w:t xml:space="preserve">, vol. 57, no. 1, 2013, p. 65 </w:t>
      </w:r>
      <w:r w:rsidDel="00000000" w:rsidR="00000000" w:rsidRPr="00000000">
        <w:rPr>
          <w:color w:val="1c1d1e"/>
          <w:sz w:val="21"/>
          <w:szCs w:val="21"/>
          <w:highlight w:val="white"/>
          <w:rtl w:val="0"/>
        </w:rPr>
        <w:t xml:space="preserve">https://onlinelibrary-wiley-com.library2.csumb.edu:2248/doi/full/10.1111/j.1557-203X.2012.01185.x</w:t>
      </w: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right"/>
      <w:rPr/>
    </w:pPr>
    <w:r w:rsidDel="00000000" w:rsidR="00000000" w:rsidRPr="00000000">
      <w:rPr>
        <w:rtl w:val="0"/>
      </w:rPr>
      <w:t xml:space="preserve">Gonzalez &amp; Rua</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